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10" w:rsidRDefault="00CF0710" w:rsidP="00C20A2E">
      <w:pPr>
        <w:spacing w:before="57" w:after="62" w:line="320" w:lineRule="exact"/>
        <w:outlineLvl w:val="0"/>
        <w:rPr>
          <w:b/>
          <w:sz w:val="22"/>
          <w:szCs w:val="22"/>
          <w:u w:val="single"/>
          <w:lang w:val="en-GB"/>
        </w:rPr>
      </w:pPr>
      <w:r w:rsidRPr="00890FC2">
        <w:rPr>
          <w:b/>
          <w:sz w:val="22"/>
          <w:szCs w:val="22"/>
          <w:u w:val="single"/>
          <w:lang w:val="en-GB"/>
        </w:rPr>
        <w:t>Appendix 4</w:t>
      </w:r>
    </w:p>
    <w:p w:rsidR="00890FC2" w:rsidRPr="00890FC2" w:rsidRDefault="00890FC2" w:rsidP="00C20A2E">
      <w:pPr>
        <w:spacing w:before="57" w:after="62" w:line="320" w:lineRule="exact"/>
        <w:outlineLvl w:val="0"/>
        <w:rPr>
          <w:b/>
          <w:sz w:val="22"/>
          <w:szCs w:val="22"/>
          <w:u w:val="single"/>
          <w:lang w:val="en-GB"/>
        </w:rPr>
      </w:pPr>
    </w:p>
    <w:p w:rsidR="006816A2" w:rsidRPr="00890FC2" w:rsidRDefault="006816A2" w:rsidP="00C20A2E">
      <w:pPr>
        <w:spacing w:before="57" w:after="62" w:line="320" w:lineRule="exact"/>
        <w:outlineLvl w:val="0"/>
        <w:rPr>
          <w:b/>
          <w:sz w:val="22"/>
          <w:szCs w:val="22"/>
          <w:lang w:val="en-GB" w:eastAsia="de-DE"/>
        </w:rPr>
      </w:pPr>
      <w:r w:rsidRPr="00890FC2">
        <w:rPr>
          <w:b/>
          <w:sz w:val="22"/>
          <w:szCs w:val="22"/>
          <w:lang w:val="en-GB"/>
        </w:rPr>
        <w:t>Tenderer’s Declaration</w:t>
      </w:r>
    </w:p>
    <w:p w:rsidR="00CF0710" w:rsidRPr="00890FC2" w:rsidRDefault="00CF0710" w:rsidP="002E6837">
      <w:pPr>
        <w:spacing w:line="320" w:lineRule="atLeast"/>
        <w:rPr>
          <w:sz w:val="22"/>
          <w:szCs w:val="22"/>
          <w:lang w:val="en-GB" w:eastAsia="de-DE"/>
        </w:rPr>
      </w:pPr>
    </w:p>
    <w:p w:rsidR="00CF0710" w:rsidRPr="00890FC2" w:rsidRDefault="00CF0710" w:rsidP="002E6837">
      <w:pPr>
        <w:tabs>
          <w:tab w:val="num" w:pos="540"/>
        </w:tabs>
        <w:spacing w:line="320" w:lineRule="atLeast"/>
        <w:outlineLvl w:val="0"/>
        <w:rPr>
          <w:bCs/>
          <w:iCs/>
          <w:sz w:val="22"/>
          <w:szCs w:val="22"/>
          <w:lang w:val="en-GB" w:eastAsia="de-DE"/>
        </w:rPr>
      </w:pPr>
      <w:bookmarkStart w:id="0" w:name="_Toc241320096"/>
      <w:bookmarkStart w:id="1" w:name="_Toc260750156"/>
      <w:r w:rsidRPr="00890FC2">
        <w:rPr>
          <w:bCs/>
          <w:iCs/>
          <w:sz w:val="22"/>
          <w:szCs w:val="22"/>
          <w:lang w:val="en-GB" w:eastAsia="de-DE"/>
        </w:rPr>
        <w:t>1.</w:t>
      </w:r>
      <w:r w:rsidRPr="00890FC2">
        <w:rPr>
          <w:bCs/>
          <w:iCs/>
          <w:sz w:val="22"/>
          <w:szCs w:val="22"/>
          <w:lang w:val="en-GB" w:eastAsia="de-DE"/>
        </w:rPr>
        <w:tab/>
      </w:r>
      <w:bookmarkEnd w:id="0"/>
      <w:bookmarkEnd w:id="1"/>
      <w:r w:rsidRPr="00890FC2">
        <w:rPr>
          <w:bCs/>
          <w:iCs/>
          <w:sz w:val="22"/>
          <w:szCs w:val="22"/>
          <w:u w:val="single"/>
          <w:lang w:val="en-GB" w:eastAsia="de-DE"/>
        </w:rPr>
        <w:t xml:space="preserve">General </w:t>
      </w:r>
      <w:r w:rsidRPr="00890FC2">
        <w:rPr>
          <w:sz w:val="22"/>
          <w:szCs w:val="22"/>
          <w:u w:val="single"/>
          <w:lang w:val="en-GB"/>
        </w:rPr>
        <w:t>Tenderer’s Declaration</w:t>
      </w:r>
    </w:p>
    <w:p w:rsidR="00CF0710" w:rsidRPr="00890FC2" w:rsidRDefault="00CF0710" w:rsidP="002E6837">
      <w:pPr>
        <w:spacing w:line="320" w:lineRule="atLeast"/>
        <w:rPr>
          <w:sz w:val="22"/>
          <w:szCs w:val="22"/>
          <w:lang w:val="en-GB" w:eastAsia="de-DE"/>
        </w:rPr>
      </w:pPr>
    </w:p>
    <w:p w:rsidR="00CF0710" w:rsidRPr="00890FC2" w:rsidRDefault="00CF0710" w:rsidP="00C20A2E">
      <w:pPr>
        <w:spacing w:before="57" w:after="62" w:line="320" w:lineRule="exact"/>
        <w:rPr>
          <w:b/>
          <w:sz w:val="22"/>
          <w:szCs w:val="22"/>
          <w:lang w:val="en-GB" w:eastAsia="de-DE"/>
        </w:rPr>
      </w:pPr>
      <w:r w:rsidRPr="00890FC2">
        <w:rPr>
          <w:sz w:val="22"/>
          <w:szCs w:val="22"/>
          <w:lang w:val="en-GB" w:eastAsia="de-DE"/>
        </w:rPr>
        <w:t>The Tenderer</w:t>
      </w:r>
      <w:r w:rsidR="00BA30E7">
        <w:rPr>
          <w:sz w:val="22"/>
          <w:szCs w:val="22"/>
          <w:lang w:val="en-GB" w:eastAsia="de-DE"/>
        </w:rPr>
        <w:t>/</w:t>
      </w:r>
      <w:r w:rsidR="00BA30E7" w:rsidRPr="00890FC2">
        <w:rPr>
          <w:sz w:val="22"/>
          <w:szCs w:val="22"/>
          <w:lang w:val="en-GB" w:eastAsia="de-DE"/>
        </w:rPr>
        <w:t>Contractor</w:t>
      </w:r>
      <w:r w:rsidRPr="00890FC2">
        <w:rPr>
          <w:sz w:val="22"/>
          <w:szCs w:val="22"/>
          <w:lang w:val="en-GB" w:eastAsia="de-DE"/>
        </w:rPr>
        <w:t xml:space="preserve"> hereby declares that </w:t>
      </w:r>
    </w:p>
    <w:p w:rsidR="00CF0710" w:rsidRPr="00890FC2" w:rsidRDefault="00CF0710" w:rsidP="00C22E6B">
      <w:pPr>
        <w:numPr>
          <w:ilvl w:val="0"/>
          <w:numId w:val="1"/>
        </w:numPr>
        <w:tabs>
          <w:tab w:val="clear" w:pos="2880"/>
        </w:tabs>
        <w:spacing w:before="400" w:after="120" w:line="320" w:lineRule="atLeast"/>
        <w:ind w:left="539" w:hanging="539"/>
        <w:jc w:val="both"/>
        <w:rPr>
          <w:sz w:val="22"/>
          <w:szCs w:val="22"/>
          <w:lang w:val="en-GB" w:eastAsia="de-DE"/>
        </w:rPr>
      </w:pPr>
      <w:bookmarkStart w:id="2" w:name="_Toc184124059"/>
      <w:r w:rsidRPr="00890FC2">
        <w:rPr>
          <w:sz w:val="22"/>
          <w:szCs w:val="22"/>
          <w:lang w:val="en-GB" w:eastAsia="de-DE"/>
        </w:rPr>
        <w:t>it is familiar with the Tender Documents and fully accepts the terms and conditions of the same,</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it has found the Tender Documents, including Appendices (with corrections, if any), to be sufficiently clear and complete to enable it to draw up a Tender, and considers itself bound by the prices, as well as by any additional qualitative criteria, that it has offered.</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it has obtained sufficient information concerning the scope of the services, as well as all other circumstances relevant to the calculation of the price, and that its Tender is based on this information.</w:t>
      </w:r>
      <w:bookmarkEnd w:id="2"/>
      <w:r w:rsidRPr="00890FC2">
        <w:rPr>
          <w:sz w:val="22"/>
          <w:szCs w:val="22"/>
          <w:lang w:val="en-GB" w:eastAsia="de-DE"/>
        </w:rPr>
        <w:t xml:space="preserve"> </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has all the means necessary for providing the services, and that it will take all measures required to timely procure the resources that it is obliged to provide. </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is willing to provide the services in question on these terms and/or conditions and that it is able to comply with the prescribed deadlines. </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the applicable provisions of Austrian labour and social law will be complied with during the performance of the Contract. </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the Contract will be performed - not only by itself but also by its subcontractors, if any - without employing illegal workers within the meaning of the Austrian Act on the Employment of Foreign Nationals (</w:t>
      </w:r>
      <w:r w:rsidRPr="00890FC2">
        <w:rPr>
          <w:i/>
          <w:sz w:val="22"/>
          <w:szCs w:val="22"/>
          <w:lang w:val="en-GB" w:eastAsia="de-DE"/>
        </w:rPr>
        <w:t>Ausländerbeschäftigungsgesetz</w:t>
      </w:r>
      <w:r w:rsidRPr="00890FC2">
        <w:rPr>
          <w:sz w:val="22"/>
          <w:szCs w:val="22"/>
          <w:lang w:val="en-GB" w:eastAsia="de-DE"/>
        </w:rPr>
        <w:t xml:space="preserve">), as amended. </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the performance of the services owed under the Contract does not depend on the issuance or extension of work permits for foreign workers. </w:t>
      </w:r>
    </w:p>
    <w:p w:rsidR="00CF0710"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expressly agrees that all data in the Tender may be used for the EDP-supported compilation of contract awarder databases as long as the protection of business and trade secrets is guaranteed. </w:t>
      </w:r>
    </w:p>
    <w:p w:rsidR="00BA30E7" w:rsidRPr="00890FC2" w:rsidRDefault="00BA30E7" w:rsidP="00F513A3">
      <w:pPr>
        <w:numPr>
          <w:ilvl w:val="0"/>
          <w:numId w:val="1"/>
        </w:numPr>
        <w:tabs>
          <w:tab w:val="clear" w:pos="2880"/>
        </w:tabs>
        <w:spacing w:before="120" w:after="120" w:line="320" w:lineRule="atLeast"/>
        <w:ind w:left="567" w:hanging="567"/>
        <w:jc w:val="both"/>
        <w:rPr>
          <w:sz w:val="22"/>
          <w:szCs w:val="22"/>
          <w:lang w:val="en-GB" w:eastAsia="de-DE"/>
        </w:rPr>
      </w:pPr>
      <w:r>
        <w:rPr>
          <w:sz w:val="22"/>
          <w:szCs w:val="22"/>
          <w:lang w:val="en-GB" w:eastAsia="de-DE"/>
        </w:rPr>
        <w:t xml:space="preserve">it agrees </w:t>
      </w:r>
      <w:r w:rsidR="009A1AA6">
        <w:rPr>
          <w:sz w:val="22"/>
          <w:szCs w:val="22"/>
          <w:lang w:val="en-GB" w:eastAsia="de-DE"/>
        </w:rPr>
        <w:t>t</w:t>
      </w:r>
      <w:r w:rsidRPr="00BA30E7">
        <w:rPr>
          <w:sz w:val="22"/>
          <w:szCs w:val="22"/>
          <w:lang w:val="en-GB" w:eastAsia="de-DE"/>
        </w:rPr>
        <w:t>o the publication of parts of the tender, provided there is a legal obligation to do so.</w:t>
      </w:r>
    </w:p>
    <w:p w:rsidR="00CF0710" w:rsidRPr="00890FC2"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its Tender is based exclusively on its own price calculations, that no agreements on price formation or compensation for loss contrary to public policy or unfair competition law have been entered into with other tenderers to the detriment of the Contract Awarders, and that no price development or cartel agreements exist. </w:t>
      </w:r>
    </w:p>
    <w:p w:rsidR="00CF0710" w:rsidRDefault="00CF0710" w:rsidP="00B9609F">
      <w:pPr>
        <w:numPr>
          <w:ilvl w:val="0"/>
          <w:numId w:val="1"/>
        </w:numPr>
        <w:tabs>
          <w:tab w:val="clear" w:pos="2880"/>
        </w:tabs>
        <w:spacing w:before="120" w:after="120" w:line="320" w:lineRule="atLeast"/>
        <w:ind w:left="539" w:hanging="539"/>
        <w:jc w:val="both"/>
        <w:rPr>
          <w:sz w:val="22"/>
          <w:szCs w:val="22"/>
          <w:lang w:val="en-GB" w:eastAsia="de-DE"/>
        </w:rPr>
      </w:pPr>
      <w:r w:rsidRPr="00890FC2">
        <w:rPr>
          <w:sz w:val="22"/>
          <w:szCs w:val="22"/>
          <w:lang w:val="en-GB" w:eastAsia="de-DE"/>
        </w:rPr>
        <w:t xml:space="preserve">it has not identified any unclear or incomplete terms or conditions in the Tender Documents or in the Contract the clarification or completion of which it has failed demonstrably to request. </w:t>
      </w:r>
    </w:p>
    <w:p w:rsidR="00676AB4" w:rsidRDefault="00676AB4" w:rsidP="00676AB4">
      <w:pPr>
        <w:numPr>
          <w:ilvl w:val="0"/>
          <w:numId w:val="1"/>
        </w:numPr>
        <w:tabs>
          <w:tab w:val="clear" w:pos="2880"/>
          <w:tab w:val="num" w:pos="1134"/>
        </w:tabs>
        <w:spacing w:before="120" w:after="120" w:line="320" w:lineRule="atLeast"/>
        <w:ind w:left="567" w:hanging="567"/>
        <w:jc w:val="both"/>
        <w:rPr>
          <w:sz w:val="22"/>
          <w:szCs w:val="22"/>
          <w:lang w:val="en-GB" w:eastAsia="de-DE"/>
        </w:rPr>
      </w:pPr>
      <w:r>
        <w:rPr>
          <w:sz w:val="22"/>
          <w:szCs w:val="22"/>
          <w:lang w:val="en-GB" w:eastAsia="de-DE"/>
        </w:rPr>
        <w:lastRenderedPageBreak/>
        <w:t xml:space="preserve">the Contract Awarders </w:t>
      </w:r>
      <w:r w:rsidRPr="00676AB4">
        <w:rPr>
          <w:sz w:val="22"/>
          <w:szCs w:val="22"/>
          <w:lang w:val="en-GB" w:eastAsia="de-DE"/>
        </w:rPr>
        <w:t>are authorised to verify all information provided within th</w:t>
      </w:r>
      <w:r>
        <w:rPr>
          <w:sz w:val="22"/>
          <w:szCs w:val="22"/>
          <w:lang w:val="en-GB" w:eastAsia="de-DE"/>
        </w:rPr>
        <w:t>e framework of the tender. The T</w:t>
      </w:r>
      <w:r w:rsidRPr="00676AB4">
        <w:rPr>
          <w:sz w:val="22"/>
          <w:szCs w:val="22"/>
          <w:lang w:val="en-GB" w:eastAsia="de-DE"/>
        </w:rPr>
        <w:t>enderer shall provide any necessary additional information without delay, at the latest within 7 calendar days.</w:t>
      </w:r>
    </w:p>
    <w:p w:rsidR="00676AB4" w:rsidRPr="00890FC2" w:rsidRDefault="00676AB4" w:rsidP="00676AB4">
      <w:pPr>
        <w:numPr>
          <w:ilvl w:val="0"/>
          <w:numId w:val="1"/>
        </w:numPr>
        <w:tabs>
          <w:tab w:val="clear" w:pos="2880"/>
          <w:tab w:val="num" w:pos="1134"/>
        </w:tabs>
        <w:spacing w:before="120" w:after="120" w:line="320" w:lineRule="atLeast"/>
        <w:ind w:left="567" w:hanging="567"/>
        <w:jc w:val="both"/>
        <w:rPr>
          <w:sz w:val="22"/>
          <w:szCs w:val="22"/>
          <w:lang w:val="en-GB" w:eastAsia="de-DE"/>
        </w:rPr>
      </w:pPr>
      <w:r>
        <w:rPr>
          <w:sz w:val="22"/>
          <w:szCs w:val="22"/>
          <w:lang w:val="en-GB" w:eastAsia="de-DE"/>
        </w:rPr>
        <w:t xml:space="preserve">it </w:t>
      </w:r>
      <w:r w:rsidRPr="00676AB4">
        <w:rPr>
          <w:sz w:val="22"/>
          <w:szCs w:val="22"/>
          <w:lang w:val="en-GB" w:eastAsia="de-DE"/>
        </w:rPr>
        <w:t>is aware that incorrect information on suitability may result in a loss of reliability.</w:t>
      </w:r>
    </w:p>
    <w:p w:rsidR="00890FC2" w:rsidRPr="00890FC2" w:rsidRDefault="00890FC2" w:rsidP="00B9609F">
      <w:pPr>
        <w:spacing w:before="120" w:after="120" w:line="320" w:lineRule="exact"/>
        <w:jc w:val="both"/>
        <w:rPr>
          <w:sz w:val="22"/>
          <w:szCs w:val="22"/>
          <w:lang w:val="en-GB" w:eastAsia="de-DE"/>
        </w:rPr>
      </w:pPr>
    </w:p>
    <w:p w:rsidR="00CF0710" w:rsidRPr="00890FC2" w:rsidRDefault="00CF0710" w:rsidP="00C20A2E">
      <w:pPr>
        <w:spacing w:before="120" w:after="120" w:line="320" w:lineRule="exact"/>
        <w:jc w:val="both"/>
        <w:rPr>
          <w:sz w:val="22"/>
          <w:szCs w:val="22"/>
          <w:lang w:val="en-GB" w:eastAsia="de-DE"/>
        </w:rPr>
      </w:pPr>
      <w:r w:rsidRPr="00890FC2">
        <w:rPr>
          <w:sz w:val="22"/>
          <w:szCs w:val="22"/>
          <w:lang w:val="en-GB" w:eastAsia="de-DE"/>
        </w:rPr>
        <w:t xml:space="preserve">The following rules shall apply to bidding consortiums: </w:t>
      </w:r>
    </w:p>
    <w:p w:rsidR="00CF0710" w:rsidRPr="00890FC2" w:rsidRDefault="00CF0710" w:rsidP="00B9609F">
      <w:pPr>
        <w:spacing w:before="120" w:after="120" w:line="320" w:lineRule="atLeast"/>
        <w:jc w:val="both"/>
        <w:rPr>
          <w:sz w:val="22"/>
          <w:szCs w:val="22"/>
          <w:lang w:val="en-GB" w:eastAsia="de-DE"/>
        </w:rPr>
      </w:pPr>
      <w:r w:rsidRPr="00890FC2">
        <w:rPr>
          <w:sz w:val="22"/>
          <w:szCs w:val="22"/>
          <w:lang w:val="en-GB" w:eastAsia="de-DE"/>
        </w:rPr>
        <w:t>In the event of the Contract being awarded to a bidding consortium, the consortium undertakes to provide the services in question as a joint venture and to accept joint and several liability vis-à-vis the Contract Awarders pursuant to sec. 891 of the Austrian Civil Code (</w:t>
      </w:r>
      <w:r w:rsidRPr="00890FC2">
        <w:rPr>
          <w:i/>
          <w:sz w:val="22"/>
          <w:szCs w:val="22"/>
          <w:lang w:val="en-GB" w:eastAsia="de-DE"/>
        </w:rPr>
        <w:t>Allgemeines Bürgerliches Gesetzbuch, ABGB</w:t>
      </w:r>
      <w:r w:rsidRPr="00890FC2">
        <w:rPr>
          <w:sz w:val="22"/>
          <w:szCs w:val="22"/>
          <w:lang w:val="en-GB" w:eastAsia="de-DE"/>
        </w:rPr>
        <w:t>).</w:t>
      </w:r>
    </w:p>
    <w:p w:rsidR="00CF0710" w:rsidRPr="00890FC2" w:rsidRDefault="00CF0710" w:rsidP="00B9609F">
      <w:pPr>
        <w:spacing w:before="120" w:after="120" w:line="320" w:lineRule="atLeast"/>
        <w:jc w:val="both"/>
        <w:rPr>
          <w:sz w:val="22"/>
          <w:szCs w:val="22"/>
          <w:lang w:val="en-GB" w:eastAsia="de-DE"/>
        </w:rPr>
      </w:pPr>
      <w:r w:rsidRPr="00890FC2">
        <w:rPr>
          <w:sz w:val="22"/>
          <w:szCs w:val="22"/>
          <w:lang w:val="en-GB" w:eastAsia="de-DE"/>
        </w:rPr>
        <w:t>The member (the company leading the consortium) named on the Tender Cover Sheet is authorized and instructed to represent the future Contractors vis-à-vis third parties, to receive instructions, to issue binding declarations, to demand payments on the part of the Contract Awarders and to conduct all negotiations in the course of the performance of the Contract.</w:t>
      </w:r>
    </w:p>
    <w:p w:rsidR="00CF0710" w:rsidRPr="00890FC2" w:rsidRDefault="00CF0710" w:rsidP="002E6837">
      <w:pPr>
        <w:spacing w:line="320" w:lineRule="atLeast"/>
        <w:rPr>
          <w:sz w:val="22"/>
          <w:szCs w:val="22"/>
          <w:lang w:val="en-GB" w:eastAsia="de-DE"/>
        </w:rPr>
      </w:pPr>
      <w:bookmarkStart w:id="3" w:name="_Toc241320097"/>
      <w:bookmarkStart w:id="4" w:name="_Toc260750157"/>
    </w:p>
    <w:p w:rsidR="00CF0710" w:rsidRPr="00890FC2" w:rsidRDefault="00CF0710" w:rsidP="002E6837">
      <w:pPr>
        <w:tabs>
          <w:tab w:val="num" w:pos="540"/>
        </w:tabs>
        <w:spacing w:line="320" w:lineRule="atLeast"/>
        <w:outlineLvl w:val="0"/>
        <w:rPr>
          <w:bCs/>
          <w:iCs/>
          <w:sz w:val="22"/>
          <w:szCs w:val="22"/>
          <w:u w:val="single"/>
          <w:lang w:val="en-GB" w:eastAsia="de-DE"/>
        </w:rPr>
      </w:pPr>
      <w:r w:rsidRPr="00890FC2">
        <w:rPr>
          <w:bCs/>
          <w:iCs/>
          <w:sz w:val="22"/>
          <w:szCs w:val="22"/>
          <w:lang w:val="en-GB" w:eastAsia="de-DE"/>
        </w:rPr>
        <w:t>2.</w:t>
      </w:r>
      <w:r w:rsidRPr="00890FC2">
        <w:rPr>
          <w:bCs/>
          <w:iCs/>
          <w:sz w:val="22"/>
          <w:szCs w:val="22"/>
          <w:lang w:val="en-GB" w:eastAsia="de-DE"/>
        </w:rPr>
        <w:tab/>
      </w:r>
      <w:bookmarkEnd w:id="3"/>
      <w:bookmarkEnd w:id="4"/>
      <w:r w:rsidRPr="00890FC2">
        <w:rPr>
          <w:bCs/>
          <w:iCs/>
          <w:sz w:val="22"/>
          <w:szCs w:val="22"/>
          <w:u w:val="single"/>
          <w:lang w:val="en-GB" w:eastAsia="de-DE"/>
        </w:rPr>
        <w:t xml:space="preserve">Integrity Agreement </w:t>
      </w:r>
    </w:p>
    <w:p w:rsidR="00CF0710" w:rsidRPr="00890FC2" w:rsidRDefault="00CF0710" w:rsidP="002E6837">
      <w:pPr>
        <w:spacing w:line="320" w:lineRule="atLeast"/>
        <w:rPr>
          <w:sz w:val="22"/>
          <w:szCs w:val="22"/>
          <w:lang w:val="en-GB" w:eastAsia="de-DE"/>
        </w:rPr>
      </w:pPr>
    </w:p>
    <w:p w:rsidR="00CF0710" w:rsidRPr="00890FC2" w:rsidRDefault="00CF0710" w:rsidP="00C22E6B">
      <w:pPr>
        <w:spacing w:before="120" w:after="120" w:line="320" w:lineRule="atLeast"/>
        <w:outlineLvl w:val="0"/>
        <w:rPr>
          <w:sz w:val="22"/>
          <w:szCs w:val="22"/>
          <w:lang w:val="en-GB" w:eastAsia="de-DE"/>
        </w:rPr>
      </w:pPr>
      <w:r w:rsidRPr="00890FC2">
        <w:rPr>
          <w:sz w:val="22"/>
          <w:szCs w:val="22"/>
          <w:lang w:val="en-GB" w:eastAsia="de-DE"/>
        </w:rPr>
        <w:t xml:space="preserve">The Contract Awarders and the </w:t>
      </w:r>
      <w:r w:rsidR="00BC344F">
        <w:rPr>
          <w:sz w:val="22"/>
          <w:szCs w:val="22"/>
          <w:lang w:val="en-GB" w:eastAsia="de-DE"/>
        </w:rPr>
        <w:t>Tenderer/</w:t>
      </w:r>
      <w:r w:rsidRPr="00890FC2">
        <w:rPr>
          <w:sz w:val="22"/>
          <w:szCs w:val="22"/>
          <w:lang w:val="en-GB" w:eastAsia="de-DE"/>
        </w:rPr>
        <w:t xml:space="preserve">Contractor undertake to implement all measures required for the prevention of corruption. In particular, each </w:t>
      </w:r>
      <w:r w:rsidR="00BC344F">
        <w:rPr>
          <w:sz w:val="22"/>
          <w:szCs w:val="22"/>
          <w:lang w:val="en-GB" w:eastAsia="de-DE"/>
        </w:rPr>
        <w:t>Tenderer/</w:t>
      </w:r>
      <w:r w:rsidRPr="00890FC2">
        <w:rPr>
          <w:sz w:val="22"/>
          <w:szCs w:val="22"/>
          <w:lang w:val="en-GB" w:eastAsia="de-DE"/>
        </w:rPr>
        <w:t xml:space="preserve">Contractor will ensure, by organizational measures and instructions to its employees, that neither the Contractor itself nor its employees shall, in the course of the business relationship with the Contract Awarders, </w:t>
      </w:r>
    </w:p>
    <w:p w:rsidR="00CF0710" w:rsidRPr="00890FC2" w:rsidRDefault="00CF0710" w:rsidP="005041F6">
      <w:pPr>
        <w:spacing w:line="320" w:lineRule="atLeast"/>
        <w:rPr>
          <w:sz w:val="22"/>
          <w:szCs w:val="22"/>
          <w:lang w:val="en-GB" w:eastAsia="de-DE"/>
        </w:rPr>
      </w:pPr>
    </w:p>
    <w:p w:rsidR="00CF0710" w:rsidRPr="00890FC2" w:rsidRDefault="00CF0710" w:rsidP="00B9609F">
      <w:pPr>
        <w:numPr>
          <w:ilvl w:val="0"/>
          <w:numId w:val="2"/>
        </w:numPr>
        <w:tabs>
          <w:tab w:val="clear" w:pos="2880"/>
        </w:tabs>
        <w:spacing w:before="120" w:after="120" w:line="320" w:lineRule="atLeast"/>
        <w:ind w:left="357" w:hanging="357"/>
        <w:jc w:val="both"/>
        <w:rPr>
          <w:sz w:val="22"/>
          <w:szCs w:val="22"/>
          <w:lang w:val="en-GB" w:eastAsia="de-DE"/>
        </w:rPr>
      </w:pPr>
      <w:r w:rsidRPr="00890FC2">
        <w:rPr>
          <w:sz w:val="22"/>
          <w:szCs w:val="22"/>
          <w:lang w:val="en-GB" w:eastAsia="de-DE"/>
        </w:rPr>
        <w:t>commit any of the criminal offences described in section</w:t>
      </w:r>
      <w:r w:rsidR="00BC344F">
        <w:rPr>
          <w:sz w:val="22"/>
          <w:szCs w:val="22"/>
          <w:lang w:val="en-GB" w:eastAsia="de-DE"/>
        </w:rPr>
        <w:t xml:space="preserve">s </w:t>
      </w:r>
      <w:r w:rsidR="00BC344F" w:rsidRPr="00F513A3">
        <w:rPr>
          <w:lang w:val="en-US" w:eastAsia="de-DE"/>
        </w:rPr>
        <w:t>104, 104a, 217</w:t>
      </w:r>
      <w:r w:rsidR="00BC344F">
        <w:rPr>
          <w:lang w:val="en-US" w:eastAsia="de-DE"/>
        </w:rPr>
        <w:t>,</w:t>
      </w:r>
      <w:r w:rsidRPr="00890FC2">
        <w:rPr>
          <w:sz w:val="22"/>
          <w:szCs w:val="22"/>
          <w:lang w:val="en-GB" w:eastAsia="de-DE"/>
        </w:rPr>
        <w:t xml:space="preserve"> sections </w:t>
      </w:r>
      <w:r w:rsidR="00BC344F">
        <w:rPr>
          <w:sz w:val="22"/>
          <w:szCs w:val="22"/>
          <w:lang w:val="en-GB" w:eastAsia="de-DE"/>
        </w:rPr>
        <w:t xml:space="preserve">146-148, </w:t>
      </w:r>
      <w:r w:rsidRPr="00890FC2">
        <w:rPr>
          <w:sz w:val="22"/>
          <w:szCs w:val="22"/>
          <w:lang w:val="en-GB" w:eastAsia="de-DE"/>
        </w:rPr>
        <w:t>153,153</w:t>
      </w:r>
      <w:r w:rsidR="00BC344F">
        <w:rPr>
          <w:sz w:val="22"/>
          <w:szCs w:val="22"/>
          <w:lang w:val="en-GB" w:eastAsia="de-DE"/>
        </w:rPr>
        <w:t>b</w:t>
      </w:r>
      <w:r w:rsidRPr="00890FC2">
        <w:rPr>
          <w:sz w:val="22"/>
          <w:szCs w:val="22"/>
          <w:lang w:val="en-GB" w:eastAsia="de-DE"/>
        </w:rPr>
        <w:t>,</w:t>
      </w:r>
      <w:r w:rsidR="00BC344F">
        <w:rPr>
          <w:sz w:val="22"/>
          <w:szCs w:val="22"/>
          <w:lang w:val="en-GB" w:eastAsia="de-DE"/>
        </w:rPr>
        <w:t xml:space="preserve"> 165</w:t>
      </w:r>
      <w:r w:rsidRPr="00890FC2">
        <w:rPr>
          <w:sz w:val="22"/>
          <w:szCs w:val="22"/>
          <w:lang w:val="en-GB" w:eastAsia="de-DE"/>
        </w:rPr>
        <w:t xml:space="preserve"> sections 304-309 and sec. </w:t>
      </w:r>
      <w:r w:rsidR="00BC344F">
        <w:rPr>
          <w:sz w:val="22"/>
          <w:szCs w:val="22"/>
          <w:lang w:val="en-GB" w:eastAsia="de-DE"/>
        </w:rPr>
        <w:t>278 – 278d</w:t>
      </w:r>
      <w:r w:rsidR="00BC344F" w:rsidRPr="00890FC2">
        <w:rPr>
          <w:sz w:val="22"/>
          <w:szCs w:val="22"/>
          <w:lang w:val="en-GB" w:eastAsia="de-DE"/>
        </w:rPr>
        <w:t xml:space="preserve"> </w:t>
      </w:r>
      <w:r w:rsidRPr="00890FC2">
        <w:rPr>
          <w:sz w:val="22"/>
          <w:szCs w:val="22"/>
          <w:lang w:val="en-GB" w:eastAsia="de-DE"/>
        </w:rPr>
        <w:t>of the Austrian Criminal Code (</w:t>
      </w:r>
      <w:r w:rsidRPr="00890FC2">
        <w:rPr>
          <w:i/>
          <w:sz w:val="22"/>
          <w:szCs w:val="22"/>
          <w:lang w:val="en-GB" w:eastAsia="de-DE"/>
        </w:rPr>
        <w:t>Strafgesetzbuch, StGB</w:t>
      </w:r>
      <w:r w:rsidRPr="00890FC2">
        <w:rPr>
          <w:sz w:val="22"/>
          <w:szCs w:val="22"/>
          <w:lang w:val="en-GB" w:eastAsia="de-DE"/>
        </w:rPr>
        <w:t>) and sections 10-12 of the Unfair Trade Practices Act (</w:t>
      </w:r>
      <w:r w:rsidRPr="00890FC2">
        <w:rPr>
          <w:i/>
          <w:sz w:val="22"/>
          <w:szCs w:val="22"/>
          <w:lang w:val="en-GB" w:eastAsia="de-DE"/>
        </w:rPr>
        <w:t>Gesetz über den Unlauteren Wettbewerb, UWG</w:t>
      </w:r>
      <w:r w:rsidRPr="00890FC2">
        <w:rPr>
          <w:sz w:val="22"/>
          <w:szCs w:val="22"/>
          <w:lang w:val="en-GB" w:eastAsia="de-DE"/>
        </w:rPr>
        <w:t xml:space="preserve">), </w:t>
      </w:r>
      <w:bookmarkStart w:id="5" w:name="_Ref108929651"/>
    </w:p>
    <w:bookmarkEnd w:id="5"/>
    <w:p w:rsidR="00CF0710" w:rsidRDefault="00CF0710" w:rsidP="00F513A3">
      <w:pPr>
        <w:numPr>
          <w:ilvl w:val="0"/>
          <w:numId w:val="2"/>
        </w:numPr>
        <w:tabs>
          <w:tab w:val="clear" w:pos="2880"/>
        </w:tabs>
        <w:spacing w:before="120" w:after="120" w:line="320" w:lineRule="atLeast"/>
        <w:ind w:left="426" w:hanging="426"/>
        <w:jc w:val="both"/>
        <w:rPr>
          <w:sz w:val="22"/>
          <w:szCs w:val="22"/>
          <w:lang w:val="en-GB" w:eastAsia="de-DE"/>
        </w:rPr>
      </w:pPr>
      <w:r w:rsidRPr="00890FC2">
        <w:rPr>
          <w:sz w:val="22"/>
          <w:szCs w:val="22"/>
          <w:lang w:val="en-GB" w:eastAsia="de-DE"/>
        </w:rPr>
        <w:t>exploit or disclose to third parties in any way, including by electronic means or by means of data carriers, without being authorized to do so, for competition purposes or in self-interest, any technical templates or instructions or any commercial information of the Contract Awarders that may have been entrusted to the Contractor in connection with the performance of the Contract, it being understood that this negative covenant shall apply beyond sec. 11 of the Austrian Unfair Trade Practices Act (</w:t>
      </w:r>
      <w:r w:rsidRPr="00890FC2">
        <w:rPr>
          <w:i/>
          <w:sz w:val="22"/>
          <w:szCs w:val="22"/>
          <w:lang w:val="en-GB" w:eastAsia="de-DE"/>
        </w:rPr>
        <w:t>UWG</w:t>
      </w:r>
      <w:r w:rsidRPr="00890FC2">
        <w:rPr>
          <w:sz w:val="22"/>
          <w:szCs w:val="22"/>
          <w:lang w:val="en-GB" w:eastAsia="de-DE"/>
        </w:rPr>
        <w:t>)</w:t>
      </w:r>
      <w:r w:rsidR="00B324FD">
        <w:rPr>
          <w:sz w:val="22"/>
          <w:szCs w:val="22"/>
          <w:lang w:val="en-GB" w:eastAsia="de-DE"/>
        </w:rPr>
        <w:t xml:space="preserve"> </w:t>
      </w:r>
      <w:r w:rsidR="00B324FD" w:rsidRPr="00B324FD">
        <w:rPr>
          <w:sz w:val="22"/>
          <w:szCs w:val="22"/>
          <w:lang w:val="en-GB" w:eastAsia="de-DE"/>
        </w:rPr>
        <w:t>and does not otherwise enter into agreements with other entrepreneurs that violate the principle of fair competition</w:t>
      </w:r>
      <w:r w:rsidRPr="00890FC2">
        <w:rPr>
          <w:sz w:val="22"/>
          <w:szCs w:val="22"/>
          <w:lang w:val="en-GB" w:eastAsia="de-DE"/>
        </w:rPr>
        <w:t>,</w:t>
      </w:r>
      <w:r w:rsidR="00B324FD">
        <w:rPr>
          <w:sz w:val="22"/>
          <w:szCs w:val="22"/>
          <w:lang w:val="en-GB" w:eastAsia="de-DE"/>
        </w:rPr>
        <w:t xml:space="preserve"> </w:t>
      </w:r>
    </w:p>
    <w:p w:rsidR="00B324FD" w:rsidRPr="00890FC2" w:rsidRDefault="00B324FD" w:rsidP="00F513A3">
      <w:pPr>
        <w:numPr>
          <w:ilvl w:val="0"/>
          <w:numId w:val="2"/>
        </w:numPr>
        <w:tabs>
          <w:tab w:val="clear" w:pos="2880"/>
        </w:tabs>
        <w:spacing w:before="120" w:after="120" w:line="320" w:lineRule="atLeast"/>
        <w:ind w:left="426" w:hanging="426"/>
        <w:jc w:val="both"/>
        <w:rPr>
          <w:sz w:val="22"/>
          <w:szCs w:val="22"/>
          <w:lang w:val="en-GB" w:eastAsia="de-DE"/>
        </w:rPr>
      </w:pPr>
      <w:r w:rsidRPr="00B324FD">
        <w:rPr>
          <w:sz w:val="22"/>
          <w:szCs w:val="22"/>
          <w:lang w:val="en-GB" w:eastAsia="de-DE"/>
        </w:rPr>
        <w:t xml:space="preserve">does not enter into any agreement contrary to accepted principles of </w:t>
      </w:r>
      <w:r>
        <w:rPr>
          <w:sz w:val="22"/>
          <w:szCs w:val="22"/>
          <w:lang w:val="en-GB" w:eastAsia="de-DE"/>
        </w:rPr>
        <w:t>common decency (</w:t>
      </w:r>
      <w:r>
        <w:rPr>
          <w:i/>
          <w:sz w:val="22"/>
          <w:szCs w:val="22"/>
          <w:lang w:val="en-GB" w:eastAsia="de-DE"/>
        </w:rPr>
        <w:t>gute Sitten</w:t>
      </w:r>
      <w:r>
        <w:rPr>
          <w:sz w:val="22"/>
          <w:szCs w:val="22"/>
          <w:lang w:val="en-GB" w:eastAsia="de-DE"/>
        </w:rPr>
        <w:t>),</w:t>
      </w:r>
    </w:p>
    <w:p w:rsidR="00CF0710" w:rsidRPr="00890FC2" w:rsidRDefault="00CF0710" w:rsidP="00B9609F">
      <w:pPr>
        <w:numPr>
          <w:ilvl w:val="0"/>
          <w:numId w:val="2"/>
        </w:numPr>
        <w:tabs>
          <w:tab w:val="clear" w:pos="2880"/>
        </w:tabs>
        <w:spacing w:before="120" w:after="120" w:line="320" w:lineRule="atLeast"/>
        <w:ind w:left="357" w:hanging="357"/>
        <w:jc w:val="both"/>
        <w:rPr>
          <w:sz w:val="22"/>
          <w:szCs w:val="22"/>
          <w:lang w:val="en-GB" w:eastAsia="de-DE"/>
        </w:rPr>
      </w:pPr>
      <w:r w:rsidRPr="00890FC2">
        <w:rPr>
          <w:sz w:val="22"/>
          <w:szCs w:val="22"/>
          <w:lang w:val="en-GB" w:eastAsia="de-DE"/>
        </w:rPr>
        <w:t>offer payments or any other ben</w:t>
      </w:r>
      <w:r w:rsidR="008F2CCE">
        <w:rPr>
          <w:sz w:val="22"/>
          <w:szCs w:val="22"/>
          <w:lang w:val="en-GB" w:eastAsia="de-DE"/>
        </w:rPr>
        <w:t xml:space="preserve">efits to the Contract Awarders‘ </w:t>
      </w:r>
      <w:r w:rsidRPr="00890FC2">
        <w:rPr>
          <w:sz w:val="22"/>
          <w:szCs w:val="22"/>
          <w:lang w:val="en-GB" w:eastAsia="de-DE"/>
        </w:rPr>
        <w:t>employees or accept any such payments or benefits from them,</w:t>
      </w:r>
    </w:p>
    <w:p w:rsidR="00CF0710" w:rsidRDefault="00CF0710" w:rsidP="00B9609F">
      <w:pPr>
        <w:numPr>
          <w:ilvl w:val="0"/>
          <w:numId w:val="2"/>
        </w:numPr>
        <w:tabs>
          <w:tab w:val="clear" w:pos="2880"/>
        </w:tabs>
        <w:spacing w:before="120" w:after="120" w:line="320" w:lineRule="atLeast"/>
        <w:ind w:left="357" w:hanging="357"/>
        <w:jc w:val="both"/>
        <w:rPr>
          <w:sz w:val="22"/>
          <w:szCs w:val="22"/>
          <w:lang w:val="en-GB" w:eastAsia="de-DE"/>
        </w:rPr>
      </w:pPr>
      <w:r w:rsidRPr="00890FC2">
        <w:rPr>
          <w:sz w:val="22"/>
          <w:szCs w:val="22"/>
          <w:lang w:val="en-GB" w:eastAsia="de-DE"/>
        </w:rPr>
        <w:t>incite third parties to any of the actions described above, or assist them in performing such actions.</w:t>
      </w:r>
    </w:p>
    <w:p w:rsidR="00890FC2" w:rsidRDefault="00890FC2" w:rsidP="00890FC2">
      <w:pPr>
        <w:spacing w:before="120" w:after="120" w:line="320" w:lineRule="atLeast"/>
        <w:jc w:val="both"/>
        <w:rPr>
          <w:sz w:val="22"/>
          <w:szCs w:val="22"/>
          <w:lang w:val="en-GB" w:eastAsia="de-DE"/>
        </w:rPr>
      </w:pPr>
    </w:p>
    <w:p w:rsidR="00E1126A" w:rsidRDefault="00E1126A" w:rsidP="00890FC2">
      <w:pPr>
        <w:spacing w:before="120" w:after="120" w:line="320" w:lineRule="atLeast"/>
        <w:jc w:val="both"/>
        <w:rPr>
          <w:sz w:val="22"/>
          <w:szCs w:val="22"/>
          <w:lang w:val="en-GB" w:eastAsia="de-DE"/>
        </w:rPr>
      </w:pPr>
      <w:r w:rsidRPr="00E1126A">
        <w:rPr>
          <w:sz w:val="22"/>
          <w:szCs w:val="22"/>
          <w:lang w:val="en-GB" w:eastAsia="de-DE"/>
        </w:rPr>
        <w:t xml:space="preserve">The </w:t>
      </w:r>
      <w:r>
        <w:rPr>
          <w:sz w:val="22"/>
          <w:szCs w:val="22"/>
          <w:lang w:val="en-GB" w:eastAsia="de-DE"/>
        </w:rPr>
        <w:t>Tenderer/C</w:t>
      </w:r>
      <w:r w:rsidRPr="00E1126A">
        <w:rPr>
          <w:sz w:val="22"/>
          <w:szCs w:val="22"/>
          <w:lang w:val="en-GB" w:eastAsia="de-DE"/>
        </w:rPr>
        <w:t xml:space="preserve">ontractor acknowledges that in the event </w:t>
      </w:r>
      <w:r>
        <w:rPr>
          <w:sz w:val="22"/>
          <w:szCs w:val="22"/>
          <w:lang w:val="en-GB" w:eastAsia="de-DE"/>
        </w:rPr>
        <w:t>of a contract</w:t>
      </w:r>
      <w:r w:rsidRPr="00E1126A">
        <w:rPr>
          <w:sz w:val="22"/>
          <w:szCs w:val="22"/>
          <w:lang w:val="en-GB" w:eastAsia="de-DE"/>
        </w:rPr>
        <w:t xml:space="preserve"> being awarded, the above circumstances entitle the </w:t>
      </w:r>
      <w:r>
        <w:rPr>
          <w:sz w:val="22"/>
          <w:szCs w:val="22"/>
          <w:lang w:val="en-GB" w:eastAsia="de-DE"/>
        </w:rPr>
        <w:t>Contract Awarders</w:t>
      </w:r>
      <w:r w:rsidRPr="00E1126A">
        <w:rPr>
          <w:sz w:val="22"/>
          <w:szCs w:val="22"/>
          <w:lang w:val="en-GB" w:eastAsia="de-DE"/>
        </w:rPr>
        <w:t xml:space="preserve"> to withdraw from the contract. Other rights of the </w:t>
      </w:r>
      <w:r>
        <w:rPr>
          <w:sz w:val="22"/>
          <w:szCs w:val="22"/>
          <w:lang w:val="en-GB" w:eastAsia="de-DE"/>
        </w:rPr>
        <w:t>Contract Awarders</w:t>
      </w:r>
      <w:r w:rsidRPr="00E1126A">
        <w:rPr>
          <w:sz w:val="22"/>
          <w:szCs w:val="22"/>
          <w:lang w:val="en-GB" w:eastAsia="de-DE"/>
        </w:rPr>
        <w:t xml:space="preserve"> remain unaffected.</w:t>
      </w:r>
    </w:p>
    <w:p w:rsidR="008F24C3" w:rsidRDefault="008F24C3" w:rsidP="00890FC2">
      <w:pPr>
        <w:spacing w:before="120" w:after="120" w:line="320" w:lineRule="atLeast"/>
        <w:jc w:val="both"/>
        <w:rPr>
          <w:sz w:val="22"/>
          <w:szCs w:val="22"/>
          <w:lang w:val="en-GB" w:eastAsia="de-DE"/>
        </w:rPr>
      </w:pPr>
    </w:p>
    <w:p w:rsidR="008F24C3" w:rsidRPr="008F24C3" w:rsidRDefault="008F24C3" w:rsidP="008F24C3">
      <w:pPr>
        <w:spacing w:before="120" w:after="120" w:line="320" w:lineRule="atLeast"/>
        <w:jc w:val="both"/>
        <w:rPr>
          <w:sz w:val="22"/>
          <w:szCs w:val="22"/>
          <w:lang w:val="en-GB" w:eastAsia="de-DE"/>
        </w:rPr>
      </w:pPr>
      <w:r w:rsidRPr="008F24C3">
        <w:rPr>
          <w:bCs/>
          <w:iCs/>
          <w:sz w:val="22"/>
          <w:szCs w:val="22"/>
          <w:lang w:val="en-GB" w:eastAsia="de-DE"/>
        </w:rPr>
        <w:t>3.</w:t>
      </w:r>
      <w:r>
        <w:rPr>
          <w:bCs/>
          <w:iCs/>
          <w:sz w:val="22"/>
          <w:szCs w:val="22"/>
          <w:lang w:val="en-GB" w:eastAsia="de-DE"/>
        </w:rPr>
        <w:tab/>
      </w:r>
      <w:r w:rsidRPr="00F513A3">
        <w:rPr>
          <w:bCs/>
          <w:iCs/>
          <w:sz w:val="22"/>
          <w:szCs w:val="22"/>
          <w:u w:val="single"/>
          <w:lang w:val="en-GB" w:eastAsia="de-DE"/>
        </w:rPr>
        <w:t>Declaration</w:t>
      </w:r>
      <w:r w:rsidRPr="00F513A3">
        <w:rPr>
          <w:sz w:val="22"/>
          <w:szCs w:val="22"/>
          <w:u w:val="single"/>
          <w:lang w:val="en-GB" w:eastAsia="de-DE"/>
        </w:rPr>
        <w:t xml:space="preserve"> of obligation in case of a change of subcontractors</w:t>
      </w:r>
    </w:p>
    <w:p w:rsidR="008F24C3" w:rsidRDefault="008F24C3" w:rsidP="008F24C3">
      <w:pPr>
        <w:spacing w:before="120" w:after="120" w:line="320" w:lineRule="atLeast"/>
        <w:jc w:val="both"/>
        <w:rPr>
          <w:sz w:val="22"/>
          <w:szCs w:val="22"/>
          <w:lang w:val="en-GB" w:eastAsia="de-DE"/>
        </w:rPr>
      </w:pPr>
      <w:r w:rsidRPr="008F24C3">
        <w:rPr>
          <w:sz w:val="22"/>
          <w:szCs w:val="22"/>
          <w:lang w:val="en-GB" w:eastAsia="de-DE"/>
        </w:rPr>
        <w:t xml:space="preserve">The </w:t>
      </w:r>
      <w:r>
        <w:rPr>
          <w:sz w:val="22"/>
          <w:szCs w:val="22"/>
          <w:lang w:val="en-GB" w:eastAsia="de-DE"/>
        </w:rPr>
        <w:t>Tenderer</w:t>
      </w:r>
      <w:r w:rsidRPr="008F24C3">
        <w:rPr>
          <w:sz w:val="22"/>
          <w:szCs w:val="22"/>
          <w:lang w:val="en-GB" w:eastAsia="de-DE"/>
        </w:rPr>
        <w:t>/</w:t>
      </w:r>
      <w:r>
        <w:rPr>
          <w:sz w:val="22"/>
          <w:szCs w:val="22"/>
          <w:lang w:val="en-GB" w:eastAsia="de-DE"/>
        </w:rPr>
        <w:t>C</w:t>
      </w:r>
      <w:r w:rsidRPr="008F24C3">
        <w:rPr>
          <w:sz w:val="22"/>
          <w:szCs w:val="22"/>
          <w:lang w:val="en-GB" w:eastAsia="de-DE"/>
        </w:rPr>
        <w:t xml:space="preserve">ontractor undertakes to inform the </w:t>
      </w:r>
      <w:r>
        <w:rPr>
          <w:sz w:val="22"/>
          <w:szCs w:val="22"/>
          <w:lang w:val="en-GB" w:eastAsia="de-DE"/>
        </w:rPr>
        <w:t>Contract Awarders</w:t>
      </w:r>
      <w:r w:rsidRPr="00E1126A">
        <w:rPr>
          <w:sz w:val="22"/>
          <w:szCs w:val="22"/>
          <w:lang w:val="en-GB" w:eastAsia="de-DE"/>
        </w:rPr>
        <w:t xml:space="preserve"> </w:t>
      </w:r>
      <w:r w:rsidRPr="008F24C3">
        <w:rPr>
          <w:sz w:val="22"/>
          <w:szCs w:val="22"/>
          <w:lang w:val="en-GB" w:eastAsia="de-DE"/>
        </w:rPr>
        <w:t>of any change of subcontractor</w:t>
      </w:r>
      <w:r>
        <w:rPr>
          <w:sz w:val="22"/>
          <w:szCs w:val="22"/>
          <w:lang w:val="en-GB" w:eastAsia="de-DE"/>
        </w:rPr>
        <w:t>s</w:t>
      </w:r>
      <w:r w:rsidRPr="008F24C3">
        <w:rPr>
          <w:sz w:val="22"/>
          <w:szCs w:val="22"/>
          <w:lang w:val="en-GB" w:eastAsia="de-DE"/>
        </w:rPr>
        <w:t xml:space="preserve"> and to ensure that it is only used with the prior consent of the </w:t>
      </w:r>
      <w:r>
        <w:rPr>
          <w:sz w:val="22"/>
          <w:szCs w:val="22"/>
          <w:lang w:val="en-GB" w:eastAsia="de-DE"/>
        </w:rPr>
        <w:t>Contract Awarders</w:t>
      </w:r>
      <w:r w:rsidRPr="008F24C3">
        <w:rPr>
          <w:sz w:val="22"/>
          <w:szCs w:val="22"/>
          <w:lang w:val="en-GB" w:eastAsia="de-DE"/>
        </w:rPr>
        <w:t>.</w:t>
      </w:r>
    </w:p>
    <w:p w:rsidR="00890FC2" w:rsidRPr="00890FC2" w:rsidRDefault="00890FC2" w:rsidP="00890FC2">
      <w:pPr>
        <w:spacing w:before="120" w:after="120" w:line="320" w:lineRule="atLeast"/>
        <w:jc w:val="both"/>
        <w:rPr>
          <w:sz w:val="22"/>
          <w:szCs w:val="22"/>
          <w:lang w:val="en-GB" w:eastAsia="de-DE"/>
        </w:rPr>
      </w:pPr>
    </w:p>
    <w:tbl>
      <w:tblPr>
        <w:tblpPr w:leftFromText="141" w:rightFromText="141" w:vertAnchor="text" w:horzAnchor="margin" w:tblpY="4"/>
        <w:tblW w:w="9250" w:type="dxa"/>
        <w:tblLayout w:type="fixed"/>
        <w:tblCellMar>
          <w:left w:w="70" w:type="dxa"/>
          <w:right w:w="70" w:type="dxa"/>
        </w:tblCellMar>
        <w:tblLook w:val="0000" w:firstRow="0" w:lastRow="0" w:firstColumn="0" w:lastColumn="0" w:noHBand="0" w:noVBand="0"/>
      </w:tblPr>
      <w:tblGrid>
        <w:gridCol w:w="3732"/>
        <w:gridCol w:w="622"/>
        <w:gridCol w:w="4896"/>
      </w:tblGrid>
      <w:tr w:rsidR="00267819" w:rsidRPr="009F3E1E" w:rsidTr="00267819">
        <w:trPr>
          <w:trHeight w:hRule="exact" w:val="440"/>
        </w:trPr>
        <w:tc>
          <w:tcPr>
            <w:tcW w:w="3732" w:type="dxa"/>
            <w:tcBorders>
              <w:bottom w:val="dashed" w:sz="4" w:space="0" w:color="auto"/>
            </w:tcBorders>
          </w:tcPr>
          <w:p w:rsidR="00267819" w:rsidRPr="00890FC2" w:rsidRDefault="00267819" w:rsidP="00267819">
            <w:pPr>
              <w:spacing w:before="240" w:after="240" w:line="320" w:lineRule="exact"/>
              <w:jc w:val="both"/>
              <w:rPr>
                <w:sz w:val="22"/>
                <w:szCs w:val="22"/>
                <w:lang w:val="en-GB"/>
              </w:rPr>
            </w:pPr>
          </w:p>
        </w:tc>
        <w:tc>
          <w:tcPr>
            <w:tcW w:w="622" w:type="dxa"/>
          </w:tcPr>
          <w:p w:rsidR="00267819" w:rsidRPr="00890FC2" w:rsidRDefault="00267819" w:rsidP="00267819">
            <w:pPr>
              <w:spacing w:before="240" w:after="240" w:line="320" w:lineRule="exact"/>
              <w:jc w:val="both"/>
              <w:rPr>
                <w:sz w:val="22"/>
                <w:szCs w:val="22"/>
                <w:lang w:val="en-GB"/>
              </w:rPr>
            </w:pPr>
          </w:p>
        </w:tc>
        <w:tc>
          <w:tcPr>
            <w:tcW w:w="4896" w:type="dxa"/>
            <w:tcBorders>
              <w:bottom w:val="dashed" w:sz="4" w:space="0" w:color="auto"/>
            </w:tcBorders>
          </w:tcPr>
          <w:p w:rsidR="00267819" w:rsidRPr="00890FC2" w:rsidRDefault="00267819" w:rsidP="00267819">
            <w:pPr>
              <w:spacing w:before="240" w:after="240" w:line="320" w:lineRule="exact"/>
              <w:jc w:val="both"/>
              <w:rPr>
                <w:sz w:val="22"/>
                <w:szCs w:val="22"/>
                <w:lang w:val="en-GB"/>
              </w:rPr>
            </w:pPr>
          </w:p>
        </w:tc>
      </w:tr>
      <w:tr w:rsidR="00267819" w:rsidRPr="009F3E1E" w:rsidTr="00267819">
        <w:trPr>
          <w:trHeight w:hRule="exact" w:val="761"/>
        </w:trPr>
        <w:tc>
          <w:tcPr>
            <w:tcW w:w="3732" w:type="dxa"/>
          </w:tcPr>
          <w:p w:rsidR="00267819" w:rsidRPr="00890FC2" w:rsidRDefault="00267819" w:rsidP="00267819">
            <w:pPr>
              <w:spacing w:before="240" w:after="240" w:line="320" w:lineRule="exact"/>
              <w:jc w:val="both"/>
              <w:rPr>
                <w:sz w:val="22"/>
                <w:szCs w:val="22"/>
                <w:lang w:val="en-GB"/>
              </w:rPr>
            </w:pPr>
            <w:r w:rsidRPr="00890FC2">
              <w:rPr>
                <w:sz w:val="22"/>
                <w:szCs w:val="22"/>
                <w:lang w:val="en-GB"/>
              </w:rPr>
              <w:t>(Place, date)</w:t>
            </w:r>
          </w:p>
        </w:tc>
        <w:tc>
          <w:tcPr>
            <w:tcW w:w="622" w:type="dxa"/>
          </w:tcPr>
          <w:p w:rsidR="00267819" w:rsidRPr="00890FC2" w:rsidRDefault="00267819" w:rsidP="00267819">
            <w:pPr>
              <w:spacing w:before="240" w:after="240" w:line="320" w:lineRule="exact"/>
              <w:jc w:val="both"/>
              <w:rPr>
                <w:sz w:val="22"/>
                <w:szCs w:val="22"/>
                <w:lang w:val="en-GB"/>
              </w:rPr>
            </w:pPr>
          </w:p>
        </w:tc>
        <w:tc>
          <w:tcPr>
            <w:tcW w:w="4896" w:type="dxa"/>
          </w:tcPr>
          <w:p w:rsidR="00267819" w:rsidRPr="00890FC2" w:rsidRDefault="00267819" w:rsidP="00267819">
            <w:pPr>
              <w:spacing w:before="240" w:after="240" w:line="320" w:lineRule="exact"/>
              <w:jc w:val="both"/>
              <w:rPr>
                <w:sz w:val="22"/>
                <w:szCs w:val="22"/>
                <w:lang w:val="en-GB"/>
              </w:rPr>
            </w:pPr>
            <w:r w:rsidRPr="00890FC2">
              <w:rPr>
                <w:sz w:val="22"/>
                <w:szCs w:val="22"/>
                <w:lang w:val="en-GB"/>
              </w:rPr>
              <w:t>(Legally valid signature, company stamp)</w:t>
            </w:r>
          </w:p>
        </w:tc>
      </w:tr>
    </w:tbl>
    <w:p w:rsidR="00CF0710" w:rsidRPr="00890FC2" w:rsidRDefault="00CF0710" w:rsidP="00267819">
      <w:pPr>
        <w:rPr>
          <w:sz w:val="22"/>
          <w:szCs w:val="22"/>
          <w:lang w:val="en-US"/>
        </w:rPr>
      </w:pPr>
      <w:bookmarkStart w:id="6" w:name="_GoBack"/>
      <w:bookmarkEnd w:id="6"/>
    </w:p>
    <w:sectPr w:rsidR="00CF0710" w:rsidRPr="00890FC2" w:rsidSect="00E3344E">
      <w:headerReference w:type="default" r:id="rId7"/>
      <w:footerReference w:type="default" r:id="rId8"/>
      <w:headerReference w:type="first" r:id="rId9"/>
      <w:footerReference w:type="first" r:id="rId10"/>
      <w:pgSz w:w="11906" w:h="16838" w:code="9"/>
      <w:pgMar w:top="1701" w:right="1418" w:bottom="1701" w:left="1418" w:header="31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AA0" w:rsidRDefault="00B21AA0" w:rsidP="00FC7D8A">
      <w:r>
        <w:separator/>
      </w:r>
    </w:p>
  </w:endnote>
  <w:endnote w:type="continuationSeparator" w:id="0">
    <w:p w:rsidR="00B21AA0" w:rsidRDefault="00B21AA0" w:rsidP="00FC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Founder Extended)">
    <w:altName w:val="@Microsoft YaHei"/>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3A3" w:rsidRDefault="00F513A3" w:rsidP="00F513A3">
    <w:pPr>
      <w:widowControl w:val="0"/>
      <w:tabs>
        <w:tab w:val="center" w:pos="4550"/>
        <w:tab w:val="left" w:pos="5818"/>
      </w:tabs>
      <w:autoSpaceDE w:val="0"/>
      <w:autoSpaceDN w:val="0"/>
      <w:ind w:left="357" w:right="260"/>
      <w:jc w:val="both"/>
      <w:rPr>
        <w:rFonts w:cs="Arial"/>
        <w:sz w:val="20"/>
        <w:lang w:val="en-US" w:eastAsia="de-DE"/>
      </w:rPr>
    </w:pPr>
    <w:r>
      <w:rPr>
        <w:rFonts w:cs="Arial"/>
        <w:sz w:val="20"/>
        <w:lang w:val="en-US" w:eastAsia="de-DE"/>
      </w:rPr>
      <w:t>Tenderer’s Declaration</w:t>
    </w:r>
    <w:r w:rsidRPr="00CE0122">
      <w:rPr>
        <w:rFonts w:cs="Arial"/>
        <w:sz w:val="20"/>
        <w:lang w:val="en-US" w:eastAsia="de-DE"/>
      </w:rPr>
      <w:t xml:space="preserve">                     </w:t>
    </w:r>
    <w:r>
      <w:rPr>
        <w:rFonts w:cs="Arial"/>
        <w:sz w:val="20"/>
        <w:lang w:val="en-US" w:eastAsia="de-DE"/>
      </w:rPr>
      <w:tab/>
    </w:r>
    <w:r>
      <w:rPr>
        <w:rFonts w:cs="Arial"/>
        <w:sz w:val="20"/>
        <w:lang w:val="en-US" w:eastAsia="de-DE"/>
      </w:rPr>
      <w:tab/>
    </w:r>
    <w:r>
      <w:rPr>
        <w:rFonts w:cs="Arial"/>
        <w:sz w:val="20"/>
        <w:lang w:val="en-US" w:eastAsia="de-DE"/>
      </w:rPr>
      <w:tab/>
    </w:r>
    <w:r>
      <w:rPr>
        <w:rFonts w:cs="Arial"/>
        <w:sz w:val="20"/>
        <w:lang w:val="en-US" w:eastAsia="de-DE"/>
      </w:rPr>
      <w:tab/>
      <w:t>Page</w:t>
    </w:r>
    <w:r w:rsidRPr="00CE0122">
      <w:rPr>
        <w:rFonts w:cs="Arial"/>
        <w:sz w:val="20"/>
        <w:lang w:val="en-US" w:eastAsia="de-DE"/>
      </w:rPr>
      <w:t xml:space="preserve"> </w:t>
    </w:r>
    <w:r w:rsidRPr="00CE0122">
      <w:rPr>
        <w:rFonts w:cs="Arial"/>
        <w:sz w:val="20"/>
        <w:lang w:val="en-US" w:eastAsia="de-DE"/>
      </w:rPr>
      <w:fldChar w:fldCharType="begin"/>
    </w:r>
    <w:r w:rsidRPr="00CE0122">
      <w:rPr>
        <w:rFonts w:cs="Arial"/>
        <w:sz w:val="20"/>
        <w:lang w:val="en-US" w:eastAsia="de-DE"/>
      </w:rPr>
      <w:instrText>PAGE   \* MERGEFORMAT</w:instrText>
    </w:r>
    <w:r w:rsidRPr="00CE0122">
      <w:rPr>
        <w:rFonts w:cs="Arial"/>
        <w:sz w:val="20"/>
        <w:lang w:val="en-US" w:eastAsia="de-DE"/>
      </w:rPr>
      <w:fldChar w:fldCharType="separate"/>
    </w:r>
    <w:r w:rsidR="00B0388E">
      <w:rPr>
        <w:rFonts w:cs="Arial"/>
        <w:noProof/>
        <w:sz w:val="20"/>
        <w:lang w:val="en-US" w:eastAsia="de-DE"/>
      </w:rPr>
      <w:t>2</w:t>
    </w:r>
    <w:r w:rsidRPr="00CE0122">
      <w:rPr>
        <w:rFonts w:cs="Arial"/>
        <w:sz w:val="20"/>
        <w:lang w:val="en-US" w:eastAsia="de-DE"/>
      </w:rPr>
      <w:fldChar w:fldCharType="end"/>
    </w:r>
    <w:r w:rsidRPr="00CE0122">
      <w:rPr>
        <w:rFonts w:cs="Arial"/>
        <w:sz w:val="20"/>
        <w:lang w:val="en-US" w:eastAsia="de-DE"/>
      </w:rPr>
      <w:t xml:space="preserve"> | </w:t>
    </w:r>
    <w:r w:rsidRPr="00CE0122">
      <w:rPr>
        <w:rFonts w:cs="Arial"/>
        <w:sz w:val="20"/>
        <w:lang w:val="en-US" w:eastAsia="de-DE"/>
      </w:rPr>
      <w:fldChar w:fldCharType="begin"/>
    </w:r>
    <w:r w:rsidRPr="00CE0122">
      <w:rPr>
        <w:rFonts w:cs="Arial"/>
        <w:sz w:val="20"/>
        <w:lang w:val="en-US" w:eastAsia="de-DE"/>
      </w:rPr>
      <w:instrText>NUMPAGES  \* Arabic  \* MERGEFORMAT</w:instrText>
    </w:r>
    <w:r w:rsidRPr="00CE0122">
      <w:rPr>
        <w:rFonts w:cs="Arial"/>
        <w:sz w:val="20"/>
        <w:lang w:val="en-US" w:eastAsia="de-DE"/>
      </w:rPr>
      <w:fldChar w:fldCharType="separate"/>
    </w:r>
    <w:r w:rsidR="00B0388E">
      <w:rPr>
        <w:rFonts w:cs="Arial"/>
        <w:noProof/>
        <w:sz w:val="20"/>
        <w:lang w:val="en-US" w:eastAsia="de-DE"/>
      </w:rPr>
      <w:t>3</w:t>
    </w:r>
    <w:r w:rsidRPr="00CE0122">
      <w:rPr>
        <w:rFonts w:cs="Arial"/>
        <w:sz w:val="20"/>
        <w:lang w:val="en-US" w:eastAsia="de-DE"/>
      </w:rPr>
      <w:fldChar w:fldCharType="end"/>
    </w:r>
  </w:p>
  <w:p w:rsidR="00B0388E" w:rsidRPr="00B0388E" w:rsidRDefault="00B0388E" w:rsidP="00F513A3">
    <w:pPr>
      <w:widowControl w:val="0"/>
      <w:tabs>
        <w:tab w:val="center" w:pos="4550"/>
        <w:tab w:val="left" w:pos="5818"/>
      </w:tabs>
      <w:autoSpaceDE w:val="0"/>
      <w:autoSpaceDN w:val="0"/>
      <w:ind w:left="357" w:right="260"/>
      <w:jc w:val="both"/>
      <w:rPr>
        <w:rFonts w:cs="Arial"/>
        <w:i/>
        <w:sz w:val="20"/>
        <w:lang w:val="en-US" w:eastAsia="de-DE"/>
      </w:rPr>
    </w:pPr>
    <w:r w:rsidRPr="00B0388E">
      <w:rPr>
        <w:rFonts w:cs="Arial"/>
        <w:i/>
        <w:sz w:val="20"/>
        <w:lang w:val="en-US" w:eastAsia="de-DE"/>
      </w:rPr>
      <w:t>Last updated on 27.04.2021</w:t>
    </w:r>
  </w:p>
  <w:p w:rsidR="00BA30E7" w:rsidRDefault="00BA30E7">
    <w:pPr>
      <w:pStyle w:val="Fuzeile"/>
      <w:spacing w:line="20" w:lineRule="exac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C66" w:rsidRDefault="00213C66">
    <w:pPr>
      <w:tabs>
        <w:tab w:val="center" w:pos="4550"/>
        <w:tab w:val="left" w:pos="5818"/>
      </w:tabs>
      <w:ind w:right="260"/>
      <w:jc w:val="right"/>
      <w:rPr>
        <w:color w:val="0F243E" w:themeColor="text2" w:themeShade="80"/>
      </w:rPr>
    </w:pPr>
    <w:r>
      <w:rPr>
        <w:color w:val="548DD4" w:themeColor="text2" w:themeTint="99"/>
        <w:spacing w:val="60"/>
      </w:rPr>
      <w:t>Tenderer’s Declaration                                  Page</w:t>
    </w:r>
    <w:r>
      <w:rPr>
        <w:color w:val="548DD4" w:themeColor="text2" w:themeTint="99"/>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A30E7">
      <w:rPr>
        <w:noProof/>
        <w:color w:val="17365D" w:themeColor="text2" w:themeShade="BF"/>
      </w:rPr>
      <w:t>3</w:t>
    </w:r>
    <w:r>
      <w:rPr>
        <w:color w:val="17365D" w:themeColor="text2" w:themeShade="BF"/>
      </w:rPr>
      <w:fldChar w:fldCharType="end"/>
    </w:r>
    <w:r>
      <w:rPr>
        <w:color w:val="17365D" w:themeColor="text2" w:themeShade="BF"/>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266E8">
      <w:rPr>
        <w:noProof/>
        <w:color w:val="17365D" w:themeColor="text2" w:themeShade="BF"/>
      </w:rPr>
      <w:t>3</w:t>
    </w:r>
    <w:r>
      <w:rPr>
        <w:color w:val="17365D" w:themeColor="text2" w:themeShade="BF"/>
      </w:rPr>
      <w:fldChar w:fldCharType="end"/>
    </w:r>
  </w:p>
  <w:p w:rsidR="00BA30E7" w:rsidRDefault="00B0388E">
    <w:pPr>
      <w:pStyle w:val="Fuzeile"/>
      <w:spacing w:line="20" w:lineRule="exact"/>
    </w:pPr>
    <w:r>
      <w:rPr>
        <w:noProof/>
        <w:lang w:val="en-US" w:eastAsia="zh-CN"/>
      </w:rPr>
      <w:pict>
        <v:shapetype id="_x0000_t202" coordsize="21600,21600" o:spt="202" path="m,l,21600r21600,l21600,xe">
          <v:stroke joinstyle="miter"/>
          <v:path gradientshapeok="t" o:connecttype="rect"/>
        </v:shapetype>
        <v:shape id="zzmpTrailer_2832_1B" o:spid="_x0000_s10242" type="#_x0000_t202" style="position:absolute;left:0;text-align:left;margin-left:0;margin-top:-9.95pt;width:201.6pt;height:20.1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" filled="f" stroked="f">
          <v:textbox inset="0,0,0,0">
            <w:txbxContent>
              <w:p w:rsidR="00BA30E7" w:rsidRDefault="008F2CCE">
                <w:pPr>
                  <w:pStyle w:val="MacPacTrailer"/>
                </w:pPr>
                <w:fldSimple w:instr=" DOCPROPERTY  docId ">
                  <w:r w:rsidR="005266E8">
                    <w:t>DAC30092973</w:t>
                  </w:r>
                </w:fldSimple>
                <w:r w:rsidR="00BA30E7">
                  <w:fldChar w:fldCharType="begin"/>
                </w:r>
                <w:r w:rsidR="00BA30E7">
                  <w:instrText xml:space="preserve"> IF </w:instrText>
                </w:r>
                <w:fldSimple w:instr=" DOCPROPERTY  docIncludeVersion ">
                  <w:r w:rsidR="005266E8">
                    <w:instrText>true</w:instrText>
                  </w:r>
                </w:fldSimple>
                <w:r w:rsidR="00BA30E7">
                  <w:instrText xml:space="preserve"> = true "/</w:instrText>
                </w:r>
                <w:fldSimple w:instr=" DOCPROPERTY  docVersion ">
                  <w:r w:rsidR="005266E8">
                    <w:instrText>2</w:instrText>
                  </w:r>
                </w:fldSimple>
                <w:r w:rsidR="00BA30E7">
                  <w:instrText>"</w:instrText>
                </w:r>
                <w:r w:rsidR="00BA30E7">
                  <w:fldChar w:fldCharType="separate"/>
                </w:r>
                <w:r w:rsidR="005266E8">
                  <w:rPr>
                    <w:noProof/>
                  </w:rPr>
                  <w:t>/2</w:t>
                </w:r>
                <w:r w:rsidR="00BA30E7">
                  <w:fldChar w:fldCharType="end"/>
                </w:r>
                <w:r w:rsidR="00BA30E7">
                  <w:t xml:space="preserve">   </w:t>
                </w:r>
                <w:r w:rsidR="00BA30E7">
                  <w:fldChar w:fldCharType="begin"/>
                </w:r>
                <w:r w:rsidR="00BA30E7">
                  <w:instrText xml:space="preserve"> IF </w:instrText>
                </w:r>
                <w:fldSimple w:instr=" DOCPROPERTY  docIncludeCliMat ">
                  <w:r w:rsidR="005266E8">
                    <w:instrText>true</w:instrText>
                  </w:r>
                </w:fldSimple>
                <w:r w:rsidR="00BA30E7">
                  <w:instrText xml:space="preserve"> = true </w:instrText>
                </w:r>
                <w:fldSimple w:instr=" DOCPROPERTY  docCliMat ">
                  <w:r w:rsidR="005266E8">
                    <w:instrText>161480-0002</w:instrText>
                  </w:r>
                </w:fldSimple>
                <w:r w:rsidR="00BA30E7">
                  <w:instrText xml:space="preserve">  </w:instrText>
                </w:r>
                <w:r w:rsidR="00BA30E7">
                  <w:fldChar w:fldCharType="separate"/>
                </w:r>
                <w:r w:rsidR="005266E8">
                  <w:rPr>
                    <w:noProof/>
                  </w:rPr>
                  <w:t>161480-0002</w:t>
                </w:r>
                <w:r w:rsidR="00BA30E7">
                  <w:fldChar w:fldCharType="end"/>
                </w:r>
              </w:p>
              <w:p w:rsidR="00BA30E7" w:rsidRDefault="00BA30E7">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AA0" w:rsidRDefault="00B21AA0" w:rsidP="00FC7D8A">
      <w:r>
        <w:separator/>
      </w:r>
    </w:p>
  </w:footnote>
  <w:footnote w:type="continuationSeparator" w:id="0">
    <w:p w:rsidR="00B21AA0" w:rsidRDefault="00B21AA0" w:rsidP="00FC7D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710" w:rsidRPr="00267819" w:rsidRDefault="00B0388E" w:rsidP="00267819">
    <w:pPr>
      <w:pStyle w:val="Kopfzeile"/>
    </w:pPr>
    <w:bookmarkStart w:id="7" w:name="HPN"/>
    <w:bookmarkEnd w:id="7"/>
    <w:r w:rsidRPr="00E97E65">
      <w:rPr>
        <w:noProof/>
        <w:lang w:val="de-AT" w:eastAsia="de-AT"/>
      </w:rPr>
      <w:drawing>
        <wp:anchor distT="0" distB="0" distL="114300" distR="114300" simplePos="0" relativeHeight="251659776" behindDoc="0" locked="0" layoutInCell="1" allowOverlap="1" wp14:anchorId="2AE382C1" wp14:editId="751BF35D">
          <wp:simplePos x="0" y="0"/>
          <wp:positionH relativeFrom="column">
            <wp:align>center</wp:align>
          </wp:positionH>
          <wp:positionV relativeFrom="page">
            <wp:posOffset>180340</wp:posOffset>
          </wp:positionV>
          <wp:extent cx="6912000" cy="658800"/>
          <wp:effectExtent l="0" t="0" r="3175" b="8255"/>
          <wp:wrapThrough wrapText="bothSides">
            <wp:wrapPolygon edited="0">
              <wp:start x="0" y="0"/>
              <wp:lineTo x="0" y="21246"/>
              <wp:lineTo x="21550" y="21246"/>
              <wp:lineTo x="21550" y="0"/>
              <wp:lineTo x="0" y="0"/>
            </wp:wrapPolygon>
          </wp:wrapThrough>
          <wp:docPr id="4" name="Grafik 4" descr="C:\Users\obv\Desktop\KEMO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v\Desktop\KEMO 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20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710" w:rsidRDefault="00CF0710">
    <w:pPr>
      <w:pStyle w:val="FSDraftReady"/>
    </w:pPr>
    <w:bookmarkStart w:id="8" w:name="DraftReady"/>
    <w:bookmarkEnd w:id="8"/>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14D77"/>
    <w:multiLevelType w:val="hybridMultilevel"/>
    <w:tmpl w:val="13643146"/>
    <w:lvl w:ilvl="0" w:tplc="7DD616C4">
      <w:start w:val="1"/>
      <w:numFmt w:val="bullet"/>
      <w:lvlText w:val="-"/>
      <w:lvlJc w:val="left"/>
      <w:pPr>
        <w:tabs>
          <w:tab w:val="num" w:pos="2880"/>
        </w:tabs>
        <w:ind w:left="2880" w:hanging="360"/>
      </w:pPr>
      <w:rPr>
        <w:rFonts w:ascii="@Simsun (Founder Extended)" w:eastAsia="@Simsun (Founder Extended)" w:hint="eastAsia"/>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9406FFA"/>
    <w:multiLevelType w:val="hybridMultilevel"/>
    <w:tmpl w:val="2DFEB97C"/>
    <w:lvl w:ilvl="0" w:tplc="7DD616C4">
      <w:start w:val="1"/>
      <w:numFmt w:val="bullet"/>
      <w:lvlText w:val="-"/>
      <w:lvlJc w:val="left"/>
      <w:pPr>
        <w:tabs>
          <w:tab w:val="num" w:pos="2880"/>
        </w:tabs>
        <w:ind w:left="2880" w:hanging="360"/>
      </w:pPr>
      <w:rPr>
        <w:rFonts w:ascii="@Simsun (Founder Extended)" w:eastAsia="@Simsun (Founder Extended)" w:hint="eastAsia"/>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C8F66BE-1285-4CB1-AA90-6D12F47402F8}"/>
    <w:docVar w:name="dgnword-eventsink" w:val="537170256"/>
    <w:docVar w:name="zzmp10LastTrailerInserted" w:val="^`~#mp!@HJH#X┛┫:@?ŚmR⌔É7⌞LÖZp†⌖…a⌐â¨/⌏Hn!Í÷O(]¸ðƄÂ5Þ@êì⌖L¨QÐ⌄cÖ⌄÷R=‚Ó1⌒⌝îä‛Ƅ*‸⌜&quot;o⌗⌃⌙aöÙN&quot;lƙ¼.æ2äaX3æ‟á⌜l»\⌇¶ßO⌆cËÛŧ‡­SYØA⌇j!UÅTY:Äôæd^Yqã:°ú‣þv.&lt;½Cï&amp;‭e­²[4․⌎n)e⌍^AvC7&gt;RNV011"/>
    <w:docVar w:name="zzmp10LastTrailerInserted_2832" w:val="^`~#mp!@HJH#X┛┫:@?ŚmR⌔É7⌞LÖZp†⌖…a⌐â¨/⌏Hn!Í÷O(]¸ðƄÂ5Þ@êì⌖L¨QÐ⌄cÖ⌄÷R=‚Ó1⌒⌝îä‛Ƅ*‸⌜&quot;o⌗⌃⌙aöÙN&quot;lƙ¼.æ2äaX3æ‟á⌜l»\⌇¶ßO⌆cËÛŧ‡­SYØA⌇j!UÅTY:Äôæd^Yqã:°ú‣þv.&lt;½Cï&amp;‭e­²[4․⌎n)e⌍^AvC7&gt;RNV011"/>
    <w:docVar w:name="zzmp10mSEGsValidated" w:val="1"/>
    <w:docVar w:name="zzmpLegacyTrailerRemoved" w:val="True"/>
  </w:docVars>
  <w:rsids>
    <w:rsidRoot w:val="00C20A2E"/>
    <w:rsid w:val="0001718D"/>
    <w:rsid w:val="0007390F"/>
    <w:rsid w:val="00096672"/>
    <w:rsid w:val="000B3487"/>
    <w:rsid w:val="000C175E"/>
    <w:rsid w:val="000C4ABC"/>
    <w:rsid w:val="00101682"/>
    <w:rsid w:val="001268EF"/>
    <w:rsid w:val="00163B3C"/>
    <w:rsid w:val="0018197E"/>
    <w:rsid w:val="001F131F"/>
    <w:rsid w:val="00213C66"/>
    <w:rsid w:val="002241D2"/>
    <w:rsid w:val="00230DFC"/>
    <w:rsid w:val="002560AE"/>
    <w:rsid w:val="00267819"/>
    <w:rsid w:val="00292303"/>
    <w:rsid w:val="002C2DFE"/>
    <w:rsid w:val="002E6837"/>
    <w:rsid w:val="002F06E3"/>
    <w:rsid w:val="0030568C"/>
    <w:rsid w:val="00330E0A"/>
    <w:rsid w:val="00337A16"/>
    <w:rsid w:val="00350242"/>
    <w:rsid w:val="00357017"/>
    <w:rsid w:val="00375041"/>
    <w:rsid w:val="003864F9"/>
    <w:rsid w:val="003A55CE"/>
    <w:rsid w:val="003A7B9F"/>
    <w:rsid w:val="004259FE"/>
    <w:rsid w:val="0042695D"/>
    <w:rsid w:val="00454AD6"/>
    <w:rsid w:val="00496E6B"/>
    <w:rsid w:val="004D2580"/>
    <w:rsid w:val="004E4F4A"/>
    <w:rsid w:val="005041F6"/>
    <w:rsid w:val="005146EF"/>
    <w:rsid w:val="005266E8"/>
    <w:rsid w:val="00535CF0"/>
    <w:rsid w:val="0054401E"/>
    <w:rsid w:val="00574315"/>
    <w:rsid w:val="005A3D60"/>
    <w:rsid w:val="005A7DC6"/>
    <w:rsid w:val="005B2174"/>
    <w:rsid w:val="005B4D4B"/>
    <w:rsid w:val="00605EE3"/>
    <w:rsid w:val="00634BD6"/>
    <w:rsid w:val="00651CD3"/>
    <w:rsid w:val="00666996"/>
    <w:rsid w:val="00676AB4"/>
    <w:rsid w:val="006816A2"/>
    <w:rsid w:val="006D0CA2"/>
    <w:rsid w:val="007025FB"/>
    <w:rsid w:val="007264D8"/>
    <w:rsid w:val="00790767"/>
    <w:rsid w:val="007961AB"/>
    <w:rsid w:val="007B1181"/>
    <w:rsid w:val="007E63BA"/>
    <w:rsid w:val="007F4D76"/>
    <w:rsid w:val="007F742D"/>
    <w:rsid w:val="008442B3"/>
    <w:rsid w:val="00865B9B"/>
    <w:rsid w:val="00881E1C"/>
    <w:rsid w:val="00886935"/>
    <w:rsid w:val="00890FC2"/>
    <w:rsid w:val="008A5E65"/>
    <w:rsid w:val="008F06C8"/>
    <w:rsid w:val="008F24C3"/>
    <w:rsid w:val="008F2CCE"/>
    <w:rsid w:val="009234A1"/>
    <w:rsid w:val="009247F0"/>
    <w:rsid w:val="00981ABC"/>
    <w:rsid w:val="00986E8F"/>
    <w:rsid w:val="009A1AA6"/>
    <w:rsid w:val="009A21D5"/>
    <w:rsid w:val="009C3E4E"/>
    <w:rsid w:val="009F3E1E"/>
    <w:rsid w:val="00A332AB"/>
    <w:rsid w:val="00A4007C"/>
    <w:rsid w:val="00A47025"/>
    <w:rsid w:val="00A83A20"/>
    <w:rsid w:val="00AC6350"/>
    <w:rsid w:val="00B0388E"/>
    <w:rsid w:val="00B07D1D"/>
    <w:rsid w:val="00B1259E"/>
    <w:rsid w:val="00B21AA0"/>
    <w:rsid w:val="00B30917"/>
    <w:rsid w:val="00B324FD"/>
    <w:rsid w:val="00B434AC"/>
    <w:rsid w:val="00B9609F"/>
    <w:rsid w:val="00BA30E7"/>
    <w:rsid w:val="00BC344F"/>
    <w:rsid w:val="00BC5121"/>
    <w:rsid w:val="00BD395D"/>
    <w:rsid w:val="00BD6B63"/>
    <w:rsid w:val="00C01961"/>
    <w:rsid w:val="00C17EB9"/>
    <w:rsid w:val="00C20A2E"/>
    <w:rsid w:val="00C22E6B"/>
    <w:rsid w:val="00C34500"/>
    <w:rsid w:val="00C36BFA"/>
    <w:rsid w:val="00C43C15"/>
    <w:rsid w:val="00C56262"/>
    <w:rsid w:val="00C72411"/>
    <w:rsid w:val="00C81254"/>
    <w:rsid w:val="00CA558B"/>
    <w:rsid w:val="00CF0710"/>
    <w:rsid w:val="00D179F0"/>
    <w:rsid w:val="00D2376F"/>
    <w:rsid w:val="00D279E4"/>
    <w:rsid w:val="00D31711"/>
    <w:rsid w:val="00D96853"/>
    <w:rsid w:val="00DF1E15"/>
    <w:rsid w:val="00DF7608"/>
    <w:rsid w:val="00E10D96"/>
    <w:rsid w:val="00E1126A"/>
    <w:rsid w:val="00E3344E"/>
    <w:rsid w:val="00E34FA0"/>
    <w:rsid w:val="00E40BA8"/>
    <w:rsid w:val="00E502D6"/>
    <w:rsid w:val="00E72D46"/>
    <w:rsid w:val="00E84E7F"/>
    <w:rsid w:val="00E93227"/>
    <w:rsid w:val="00EB5D7A"/>
    <w:rsid w:val="00EE2B3F"/>
    <w:rsid w:val="00F22CD9"/>
    <w:rsid w:val="00F23B08"/>
    <w:rsid w:val="00F449E6"/>
    <w:rsid w:val="00F513A3"/>
    <w:rsid w:val="00FC0115"/>
    <w:rsid w:val="00FC7D8A"/>
    <w:rsid w:val="00FE414A"/>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4"/>
    <o:shapelayout v:ext="edit">
      <o:idmap v:ext="edit" data="1"/>
    </o:shapelayout>
  </w:shapeDefaults>
  <w:decimalSymbol w:val=","/>
  <w:listSeparator w:val=";"/>
  <w14:docId w14:val="39F6ECB6"/>
  <w15:docId w15:val="{8C11CAAF-0783-4B61-ACC4-3974ED57D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0A2E"/>
    <w:rPr>
      <w:rFonts w:ascii="Times New Roman" w:eastAsia="Times New Roman" w:hAnsi="Times New Roman"/>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C20A2E"/>
    <w:pPr>
      <w:spacing w:after="240"/>
      <w:jc w:val="both"/>
    </w:pPr>
  </w:style>
  <w:style w:type="character" w:customStyle="1" w:styleId="TextkrperZchn">
    <w:name w:val="Textkörper Zchn"/>
    <w:basedOn w:val="Absatz-Standardschriftart"/>
    <w:link w:val="Textkrper"/>
    <w:uiPriority w:val="99"/>
    <w:locked/>
    <w:rsid w:val="00C20A2E"/>
    <w:rPr>
      <w:rFonts w:ascii="Times New Roman" w:hAnsi="Times New Roman" w:cs="Times New Roman"/>
      <w:sz w:val="24"/>
      <w:szCs w:val="24"/>
      <w:lang w:val="de-DE"/>
    </w:rPr>
  </w:style>
  <w:style w:type="paragraph" w:styleId="Kopfzeile">
    <w:name w:val="header"/>
    <w:basedOn w:val="Textkrper"/>
    <w:link w:val="KopfzeileZchn"/>
    <w:uiPriority w:val="99"/>
    <w:rsid w:val="00C20A2E"/>
    <w:pPr>
      <w:tabs>
        <w:tab w:val="right" w:pos="8280"/>
      </w:tabs>
      <w:spacing w:after="0"/>
      <w:jc w:val="right"/>
    </w:pPr>
    <w:rPr>
      <w:sz w:val="16"/>
    </w:rPr>
  </w:style>
  <w:style w:type="character" w:customStyle="1" w:styleId="KopfzeileZchn">
    <w:name w:val="Kopfzeile Zchn"/>
    <w:basedOn w:val="Absatz-Standardschriftart"/>
    <w:link w:val="Kopfzeile"/>
    <w:uiPriority w:val="99"/>
    <w:locked/>
    <w:rsid w:val="00C20A2E"/>
    <w:rPr>
      <w:rFonts w:ascii="Times New Roman" w:hAnsi="Times New Roman" w:cs="Times New Roman"/>
      <w:sz w:val="24"/>
      <w:szCs w:val="24"/>
      <w:lang w:val="de-DE"/>
    </w:rPr>
  </w:style>
  <w:style w:type="paragraph" w:styleId="Fuzeile">
    <w:name w:val="footer"/>
    <w:basedOn w:val="Standard"/>
    <w:link w:val="FuzeileZchn"/>
    <w:uiPriority w:val="99"/>
    <w:rsid w:val="00350242"/>
    <w:pPr>
      <w:spacing w:line="340" w:lineRule="atLeast"/>
      <w:jc w:val="both"/>
    </w:pPr>
    <w:rPr>
      <w:rFonts w:ascii="Arial" w:eastAsia="Calibri" w:hAnsi="Arial"/>
      <w:sz w:val="14"/>
      <w:szCs w:val="20"/>
      <w:lang w:val="de-AT"/>
    </w:rPr>
  </w:style>
  <w:style w:type="character" w:customStyle="1" w:styleId="FuzeileZchn">
    <w:name w:val="Fußzeile Zchn"/>
    <w:basedOn w:val="Absatz-Standardschriftart"/>
    <w:link w:val="Fuzeile"/>
    <w:uiPriority w:val="99"/>
    <w:locked/>
    <w:rsid w:val="00C20A2E"/>
    <w:rPr>
      <w:rFonts w:ascii="Arial" w:hAnsi="Arial" w:cs="Times New Roman"/>
      <w:sz w:val="14"/>
      <w:lang w:val="de-AT" w:eastAsia="en-US" w:bidi="ar-SA"/>
    </w:rPr>
  </w:style>
  <w:style w:type="paragraph" w:customStyle="1" w:styleId="FSDraftReady">
    <w:name w:val="FSDraftReady"/>
    <w:basedOn w:val="Textkrper"/>
    <w:next w:val="Kopfzeile"/>
    <w:uiPriority w:val="99"/>
    <w:rsid w:val="00C20A2E"/>
    <w:pPr>
      <w:spacing w:after="0"/>
      <w:jc w:val="right"/>
    </w:pPr>
    <w:rPr>
      <w:sz w:val="36"/>
    </w:rPr>
  </w:style>
  <w:style w:type="paragraph" w:customStyle="1" w:styleId="HeaderCPN">
    <w:name w:val="HeaderCPN"/>
    <w:basedOn w:val="Textkrper"/>
    <w:uiPriority w:val="99"/>
    <w:rsid w:val="00C20A2E"/>
    <w:pPr>
      <w:spacing w:before="360" w:after="0"/>
      <w:jc w:val="right"/>
    </w:pPr>
  </w:style>
  <w:style w:type="paragraph" w:customStyle="1" w:styleId="MacPacTrailer">
    <w:name w:val="MacPac Trailer"/>
    <w:rsid w:val="00BA30E7"/>
    <w:pPr>
      <w:widowControl w:val="0"/>
      <w:spacing w:line="170" w:lineRule="exact"/>
    </w:pPr>
    <w:rPr>
      <w:rFonts w:ascii="Times New Roman" w:eastAsia="Times New Roman" w:hAnsi="Times New Roman"/>
      <w:sz w:val="14"/>
    </w:rPr>
  </w:style>
  <w:style w:type="paragraph" w:styleId="Dokumentstruktur">
    <w:name w:val="Document Map"/>
    <w:basedOn w:val="Standard"/>
    <w:link w:val="DokumentstrukturZchn"/>
    <w:uiPriority w:val="99"/>
    <w:semiHidden/>
    <w:rsid w:val="00BD395D"/>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E72D46"/>
    <w:rPr>
      <w:rFonts w:ascii="Times New Roman" w:hAnsi="Times New Roman" w:cs="Times New Roman"/>
      <w:sz w:val="2"/>
      <w:lang w:val="de-DE"/>
    </w:rPr>
  </w:style>
  <w:style w:type="table" w:styleId="Tabellenraster">
    <w:name w:val="Table Grid"/>
    <w:basedOn w:val="NormaleTabelle"/>
    <w:uiPriority w:val="99"/>
    <w:locked/>
    <w:rsid w:val="0007390F"/>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rsid w:val="00FC0115"/>
    <w:rPr>
      <w:rFonts w:cs="Times New Roman"/>
    </w:rPr>
  </w:style>
  <w:style w:type="paragraph" w:styleId="Funotentext">
    <w:name w:val="footnote text"/>
    <w:basedOn w:val="Standard"/>
    <w:link w:val="FunotentextZchn"/>
    <w:uiPriority w:val="99"/>
    <w:semiHidden/>
    <w:rsid w:val="00350242"/>
    <w:pPr>
      <w:tabs>
        <w:tab w:val="left" w:pos="284"/>
      </w:tabs>
      <w:spacing w:before="120" w:line="240" w:lineRule="exact"/>
      <w:ind w:left="284" w:hanging="284"/>
      <w:jc w:val="both"/>
    </w:pPr>
    <w:rPr>
      <w:rFonts w:eastAsia="Calibri"/>
      <w:noProof/>
      <w:sz w:val="20"/>
      <w:szCs w:val="20"/>
      <w:lang w:val="de-AT" w:eastAsia="de-DE"/>
    </w:rPr>
  </w:style>
  <w:style w:type="character" w:customStyle="1" w:styleId="FunotentextZchn">
    <w:name w:val="Fußnotentext Zchn"/>
    <w:basedOn w:val="Absatz-Standardschriftart"/>
    <w:link w:val="Funotentext"/>
    <w:uiPriority w:val="99"/>
    <w:semiHidden/>
    <w:locked/>
    <w:rsid w:val="00E72D46"/>
    <w:rPr>
      <w:rFonts w:ascii="Times New Roman" w:hAnsi="Times New Roman" w:cs="Times New Roman"/>
      <w:sz w:val="20"/>
      <w:szCs w:val="20"/>
      <w:lang w:val="de-DE"/>
    </w:rPr>
  </w:style>
  <w:style w:type="character" w:styleId="Funotenzeichen">
    <w:name w:val="footnote reference"/>
    <w:basedOn w:val="Absatz-Standardschriftart"/>
    <w:uiPriority w:val="99"/>
    <w:semiHidden/>
    <w:rsid w:val="00350242"/>
    <w:rPr>
      <w:rFonts w:ascii="Times New Roman" w:hAnsi="Times New Roman" w:cs="Times New Roman"/>
      <w:noProof/>
      <w:position w:val="0"/>
      <w:sz w:val="20"/>
      <w:vertAlign w:val="superscript"/>
    </w:rPr>
  </w:style>
  <w:style w:type="paragraph" w:styleId="Sprechblasentext">
    <w:name w:val="Balloon Text"/>
    <w:basedOn w:val="Standard"/>
    <w:link w:val="SprechblasentextZchn"/>
    <w:uiPriority w:val="99"/>
    <w:semiHidden/>
    <w:unhideWhenUsed/>
    <w:rsid w:val="00213C6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3C66"/>
    <w:rPr>
      <w:rFonts w:ascii="Segoe UI" w:eastAsia="Times New Roman" w:hAnsi="Segoe UI" w:cs="Segoe UI"/>
      <w:sz w:val="18"/>
      <w:szCs w:val="18"/>
      <w:lang w:val="de-DE"/>
    </w:rPr>
  </w:style>
  <w:style w:type="character" w:styleId="Platzhaltertext">
    <w:name w:val="Placeholder Text"/>
    <w:basedOn w:val="Absatz-Standardschriftart"/>
    <w:uiPriority w:val="99"/>
    <w:semiHidden/>
    <w:rsid w:val="00BA30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4811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FBD-W/Österr. Bibliothekenverbund-Dr. Lukas Bauer</vt:lpstr>
      <vt:lpstr>FBD-W/Österr. Bibliothekenverbund-Dr. Lukas Bauer</vt:lpstr>
    </vt:vector>
  </TitlesOfParts>
  <Manager>jor</Manager>
  <Company>Lingualex Vienna</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FBD-W/Österr. Bibliothekenverbund-Dr. Lukas Bauer</dc:title>
  <dc:subject>Beilage 4 - Bietererklärung</dc:subject>
  <dc:creator>sca/vet</dc:creator>
  <dc:description>income\Österr. Bibliothekenverbund-Dok.3-Beilage-4-Bietererklärung.DOC</dc:description>
  <cp:lastModifiedBy>obv</cp:lastModifiedBy>
  <cp:revision>10</cp:revision>
  <cp:lastPrinted>2019-08-09T10:09:00Z</cp:lastPrinted>
  <dcterms:created xsi:type="dcterms:W3CDTF">2019-02-12T18:31:00Z</dcterms:created>
  <dcterms:modified xsi:type="dcterms:W3CDTF">2021-04-27T13:44:00Z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DAC30092973</vt:lpwstr>
  </property>
  <property fmtid="{D5CDD505-2E9C-101B-9397-08002B2CF9AE}" pid="3" name="docVersion">
    <vt:lpwstr>2</vt:lpwstr>
  </property>
  <property fmtid="{D5CDD505-2E9C-101B-9397-08002B2CF9AE}" pid="4" name="docCliMat">
    <vt:lpwstr>161480-0002</vt:lpwstr>
  </property>
  <property fmtid="{D5CDD505-2E9C-101B-9397-08002B2CF9AE}" pid="5" name="docIncludeVersion">
    <vt:lpwstr>true</vt:lpwstr>
  </property>
  <property fmtid="{D5CDD505-2E9C-101B-9397-08002B2CF9AE}" pid="6" name="docIncludeCliMat">
    <vt:lpwstr>true</vt:lpwstr>
  </property>
</Properties>
</file>